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94" w:rsidRDefault="008E2794" w:rsidP="008E2794">
      <w:pPr>
        <w:widowControl w:val="0"/>
        <w:spacing w:after="160" w:line="240" w:lineRule="auto"/>
        <w:jc w:val="center"/>
        <w:outlineLvl w:val="2"/>
        <w:rPr>
          <w:rFonts w:ascii="Incised901 NdIt BT" w:eastAsia="Times New Roman" w:hAnsi="Courier New" w:cs="Courier New"/>
          <w:b/>
          <w:bCs/>
          <w:caps/>
          <w:color w:val="000000"/>
          <w:spacing w:val="50"/>
          <w:kern w:val="28"/>
          <w:sz w:val="24"/>
          <w:szCs w:val="24"/>
          <w:lang w:eastAsia="ru-RU"/>
          <w14:cntxtAlts/>
        </w:rPr>
      </w:pPr>
    </w:p>
    <w:p w:rsidR="008E2794" w:rsidRPr="008E2794" w:rsidRDefault="008E2794" w:rsidP="008E2794">
      <w:pPr>
        <w:widowControl w:val="0"/>
        <w:spacing w:after="160" w:line="240" w:lineRule="auto"/>
        <w:jc w:val="center"/>
        <w:outlineLvl w:val="2"/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</w:pPr>
      <w:r w:rsidRPr="008E2794"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  <w:t>Памятка</w:t>
      </w:r>
      <w:r w:rsidRPr="008E2794"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  <w:t xml:space="preserve"> </w:t>
      </w:r>
      <w:r w:rsidRPr="008E2794"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  <w:t>родителям</w:t>
      </w:r>
      <w:r w:rsidRPr="008E2794"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  <w:t xml:space="preserve"> </w:t>
      </w:r>
      <w:r w:rsidRPr="008E2794"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  <w:t>будущего</w:t>
      </w:r>
      <w:r w:rsidRPr="008E2794"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  <w:t xml:space="preserve"> </w:t>
      </w:r>
      <w:r w:rsidRPr="008E2794">
        <w:rPr>
          <w:rFonts w:ascii="Incised901 NdIt BT" w:eastAsia="Times New Roman" w:hAnsi="Courier New" w:cs="Courier New"/>
          <w:b/>
          <w:bCs/>
          <w:caps/>
          <w:color w:val="FF0000"/>
          <w:spacing w:val="50"/>
          <w:kern w:val="28"/>
          <w:sz w:val="44"/>
          <w:szCs w:val="24"/>
          <w:lang w:eastAsia="ru-RU"/>
          <w14:cntxtAlts/>
        </w:rPr>
        <w:t>первоклассника</w:t>
      </w:r>
    </w:p>
    <w:p w:rsidR="008E2794" w:rsidRPr="008E2794" w:rsidRDefault="008E2794" w:rsidP="008E2794">
      <w:pPr>
        <w:widowControl w:val="0"/>
        <w:spacing w:after="160" w:line="240" w:lineRule="auto"/>
        <w:jc w:val="center"/>
        <w:outlineLvl w:val="2"/>
        <w:rPr>
          <w:rFonts w:ascii="Incised901 NdIt BT" w:eastAsia="Times New Roman" w:hAnsi="Courier New" w:cs="Courier New"/>
          <w:b/>
          <w:bCs/>
          <w:caps/>
          <w:color w:val="000000"/>
          <w:spacing w:val="50"/>
          <w:kern w:val="28"/>
          <w:sz w:val="30"/>
          <w:szCs w:val="24"/>
          <w:lang w:eastAsia="ru-RU"/>
          <w14:cntxtAlts/>
        </w:rPr>
      </w:pPr>
    </w:p>
    <w:p w:rsidR="00E96717" w:rsidRPr="008E2794" w:rsidRDefault="008E2794" w:rsidP="008E2794">
      <w:pPr>
        <w:widowControl w:val="0"/>
        <w:spacing w:after="96" w:line="420" w:lineRule="auto"/>
        <w:ind w:firstLine="1620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cntxtAlts/>
        </w:rPr>
      </w:pPr>
      <w:r w:rsidRPr="008E2794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cntxtAlts/>
        </w:rPr>
        <w:t> </w:t>
      </w:r>
      <w:r>
        <w:rPr>
          <w:noProof/>
          <w:lang w:eastAsia="ru-RU"/>
        </w:rPr>
        <w:drawing>
          <wp:inline distT="0" distB="0" distL="0" distR="0" wp14:anchorId="234FC78C" wp14:editId="46A7179B">
            <wp:extent cx="3310890" cy="18749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77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3CCCFC" wp14:editId="0990CA40">
            <wp:simplePos x="0" y="0"/>
            <wp:positionH relativeFrom="column">
              <wp:posOffset>6501765</wp:posOffset>
            </wp:positionH>
            <wp:positionV relativeFrom="paragraph">
              <wp:posOffset>1381760</wp:posOffset>
            </wp:positionV>
            <wp:extent cx="3037205" cy="1875155"/>
            <wp:effectExtent l="0" t="0" r="0" b="0"/>
            <wp:wrapNone/>
            <wp:docPr id="1" name="Рисунок 1" descr="135619979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6199794_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794" w:rsidRDefault="008E2794"/>
    <w:p w:rsidR="008E2794" w:rsidRPr="008E2794" w:rsidRDefault="008E2794" w:rsidP="008E2794">
      <w:pPr>
        <w:widowControl w:val="0"/>
        <w:spacing w:before="20" w:after="20" w:line="420" w:lineRule="auto"/>
        <w:ind w:right="82"/>
        <w:jc w:val="center"/>
        <w:rPr>
          <w:rFonts w:ascii="Garamond" w:eastAsia="Times New Roman" w:hAnsi="Garamond" w:cs="Arial"/>
          <w:b/>
          <w:bCs/>
          <w:color w:val="FF0000"/>
          <w:spacing w:val="-5"/>
          <w:kern w:val="28"/>
          <w:sz w:val="32"/>
          <w:szCs w:val="18"/>
          <w:lang w:eastAsia="ru-RU"/>
          <w14:cntxtAlts/>
        </w:rPr>
      </w:pPr>
      <w:r w:rsidRPr="008E2794">
        <w:rPr>
          <w:rFonts w:ascii="Garamond" w:eastAsia="Times New Roman" w:hAnsi="Garamond" w:cs="Arial"/>
          <w:b/>
          <w:bCs/>
          <w:color w:val="FF0000"/>
          <w:spacing w:val="-5"/>
          <w:kern w:val="28"/>
          <w:sz w:val="32"/>
          <w:szCs w:val="18"/>
          <w:lang w:eastAsia="ru-RU"/>
          <w14:cntxtAlts/>
        </w:rPr>
        <w:t>КРИТЕРИИ ПСИХОЛОГИЧЕСКОЙ  ГОТОВНОСТИ РЕБЕНКА К ШКОЛЕ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b/>
          <w:color w:val="0070C0"/>
          <w:kern w:val="28"/>
          <w:sz w:val="36"/>
          <w:szCs w:val="36"/>
          <w:lang w:eastAsia="ru-RU"/>
          <w14:cntxtAlts/>
        </w:rPr>
        <w:t>Личностная готовность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–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b/>
          <w:color w:val="0070C0"/>
          <w:kern w:val="28"/>
          <w:sz w:val="36"/>
          <w:szCs w:val="36"/>
          <w:lang w:eastAsia="ru-RU"/>
          <w14:cntxtAlts/>
        </w:rPr>
        <w:t>Интеллектуальная готовность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Развитие логического мышления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 xml:space="preserve">Развитие произвольного внимания 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>(способность удерживать внимание на выполняемой работе в течение 15-20-минут).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Развитие произвольной памяти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(способность к опосредованному запоминанию: связывать запоминаемый материал с конкретным символом / слово-картинка либо слово-ситуация</w:t>
      </w:r>
      <w:proofErr w:type="gramStart"/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)</w:t>
      </w:r>
      <w:proofErr w:type="gramEnd"/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>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b/>
          <w:color w:val="0070C0"/>
          <w:kern w:val="28"/>
          <w:sz w:val="36"/>
          <w:szCs w:val="36"/>
          <w:lang w:eastAsia="ru-RU"/>
          <w14:cntxtAlts/>
        </w:rPr>
        <w:lastRenderedPageBreak/>
        <w:t>Социально-психологическая готовность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>: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Учебная мотивация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(хочет идти в школу; понимает важность и необходимость учения; проявляет выраженный интерес к получению новых знаний).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Умение общаться со сверстниками и взрослыми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(ребёнок легко вступает в контакт, не агрессивен, умеет находить выход из проблемных ситуаций общения, признаёт авторитет взрослых).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Умение принять учебную задачу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(внимательно выслушать, по необходимости уточнить задание).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b/>
          <w:color w:val="0070C0"/>
          <w:kern w:val="28"/>
          <w:sz w:val="36"/>
          <w:szCs w:val="36"/>
          <w:lang w:eastAsia="ru-RU"/>
          <w14:cntxtAlts/>
        </w:rPr>
        <w:t>Физиологическая готовность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– уровень физиологического развития, уровень биологического развития, состояние здоровья, а также развитие школьно-значимых психологических функций: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Развитие мелких мышц руки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(рука развита хорошо, ребёнок уверенно владеет карандашом, ножницами).</w:t>
      </w:r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proofErr w:type="gramStart"/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Пространственная организация, координация движений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(умение правильно определять выше – ниже, вперёд – назад, слева – справа).</w:t>
      </w:r>
      <w:proofErr w:type="gramEnd"/>
    </w:p>
    <w:p w:rsidR="008E2794" w:rsidRPr="008E2794" w:rsidRDefault="008E2794" w:rsidP="008E2794">
      <w:pPr>
        <w:widowControl w:val="0"/>
        <w:spacing w:before="20" w:after="40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proofErr w:type="gramStart"/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ligatures w14:val="standard"/>
          <w14:cntxtAlts/>
        </w:rPr>
        <w:t>▪ </w:t>
      </w:r>
      <w:r w:rsidRPr="008E2794">
        <w:rPr>
          <w:rFonts w:ascii="Times New Roman" w:eastAsia="Times New Roman" w:hAnsi="Times New Roman" w:cs="Times New Roman"/>
          <w:i/>
          <w:color w:val="0070C0"/>
          <w:kern w:val="28"/>
          <w:sz w:val="36"/>
          <w:szCs w:val="36"/>
          <w:lang w:eastAsia="ru-RU"/>
          <w14:cntxtAlts/>
        </w:rPr>
        <w:t>Координация в системе глаз-рука</w:t>
      </w:r>
      <w:r w:rsidRPr="008E2794"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  <w:t xml:space="preserve"> (ребёнок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</w:r>
      <w:proofErr w:type="gramEnd"/>
    </w:p>
    <w:p w:rsidR="008E2794" w:rsidRPr="008E2794" w:rsidRDefault="003430FD" w:rsidP="008E2794">
      <w:pPr>
        <w:widowControl w:val="0"/>
        <w:spacing w:after="96" w:line="360" w:lineRule="auto"/>
        <w:ind w:left="-1260" w:right="-545"/>
        <w:jc w:val="both"/>
        <w:rPr>
          <w:rFonts w:ascii="Times New Roman" w:eastAsia="Times New Roman" w:hAnsi="Times New Roman" w:cs="Times New Roman"/>
          <w:color w:val="0070C0"/>
          <w:kern w:val="28"/>
          <w:sz w:val="36"/>
          <w:szCs w:val="36"/>
          <w:lang w:eastAsia="ru-RU"/>
          <w14:cntxtAlts/>
        </w:rPr>
      </w:pPr>
      <w:r>
        <w:rPr>
          <w:noProof/>
          <w:lang w:eastAsia="ru-RU"/>
        </w:rPr>
        <w:drawing>
          <wp:inline distT="0" distB="0" distL="0" distR="0" wp14:anchorId="78D59EBA" wp14:editId="363731FE">
            <wp:extent cx="2971799" cy="2171700"/>
            <wp:effectExtent l="0" t="0" r="635" b="0"/>
            <wp:docPr id="4" name="Рисунок 2" descr="https://www.memotest.ru/ImageUpload/8a5ace87-375f-4549-93a5-7916bc39a39c/isto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motest.ru/ImageUpload/8a5ace87-375f-4549-93a5-7916bc39a39c/istor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32" cy="21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794" w:rsidRPr="003430FD" w:rsidRDefault="008E2794" w:rsidP="008E2794">
      <w:pPr>
        <w:spacing w:line="360" w:lineRule="auto"/>
        <w:ind w:left="-1260" w:right="-545"/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sectPr w:rsidR="008E2794" w:rsidRPr="003430FD" w:rsidSect="008E2794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cised901 NdIt B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8E"/>
    <w:rsid w:val="003430FD"/>
    <w:rsid w:val="008D6156"/>
    <w:rsid w:val="008E2794"/>
    <w:rsid w:val="00E96717"/>
    <w:rsid w:val="00E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2018-08-27T09:18:00Z</cp:lastPrinted>
  <dcterms:created xsi:type="dcterms:W3CDTF">2018-08-27T09:03:00Z</dcterms:created>
  <dcterms:modified xsi:type="dcterms:W3CDTF">2018-08-27T09:22:00Z</dcterms:modified>
</cp:coreProperties>
</file>